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3" w:rsidRPr="002B6D86" w:rsidRDefault="00F1378A" w:rsidP="002B6D86">
      <w:pPr>
        <w:pStyle w:val="DecHTitle"/>
        <w:rPr>
          <w:lang w:val="fr-FR"/>
        </w:rPr>
      </w:pPr>
      <w:bookmarkStart w:id="0" w:name="_GoBack"/>
      <w:bookmarkEnd w:id="0"/>
      <w:r w:rsidRPr="002B6D86">
        <w:rPr>
          <w:szCs w:val="24"/>
          <w:lang w:val="fr-FR"/>
        </w:rPr>
        <w:t>PREMIÈRE SECTION</w:t>
      </w:r>
    </w:p>
    <w:p w:rsidR="000A3B73" w:rsidRPr="002B6D86" w:rsidRDefault="000A3B73" w:rsidP="002B6D86">
      <w:pPr>
        <w:pStyle w:val="DecHTitle"/>
        <w:rPr>
          <w:caps/>
          <w:sz w:val="32"/>
          <w:lang w:val="fr-FR"/>
        </w:rPr>
      </w:pPr>
      <w:r w:rsidRPr="002B6D86">
        <w:rPr>
          <w:lang w:val="fr-FR"/>
        </w:rPr>
        <w:t>DÉCISION</w:t>
      </w:r>
    </w:p>
    <w:p w:rsidR="000A3B73" w:rsidRPr="002B6D86" w:rsidRDefault="000A3B73" w:rsidP="002B6D86">
      <w:pPr>
        <w:pStyle w:val="ECHRTitleCentre2"/>
        <w:rPr>
          <w:lang w:val="fr-FR" w:eastAsia="en-GB"/>
        </w:rPr>
      </w:pPr>
      <w:r w:rsidRPr="002B6D86">
        <w:rPr>
          <w:lang w:val="fr-FR"/>
        </w:rPr>
        <w:t>Requête n</w:t>
      </w:r>
      <w:r w:rsidRPr="002B6D86">
        <w:rPr>
          <w:vertAlign w:val="superscript"/>
          <w:lang w:val="fr-FR"/>
        </w:rPr>
        <w:t>o</w:t>
      </w:r>
      <w:r w:rsidRPr="002B6D86">
        <w:rPr>
          <w:lang w:val="fr-FR"/>
        </w:rPr>
        <w:t xml:space="preserve"> </w:t>
      </w:r>
      <w:r w:rsidR="00F1378A" w:rsidRPr="002B6D86">
        <w:rPr>
          <w:lang w:val="fr-FR"/>
        </w:rPr>
        <w:t>28840/03</w:t>
      </w:r>
      <w:r w:rsidRPr="002B6D86">
        <w:rPr>
          <w:lang w:val="fr-FR"/>
        </w:rPr>
        <w:br/>
      </w:r>
      <w:r w:rsidR="00F1378A" w:rsidRPr="002B6D86">
        <w:rPr>
          <w:lang w:val="fr-FR"/>
        </w:rPr>
        <w:t>Guido Antonio CATALDO et autres</w:t>
      </w:r>
      <w:r w:rsidRPr="002B6D86">
        <w:rPr>
          <w:lang w:val="fr-FR"/>
        </w:rPr>
        <w:t xml:space="preserve"> </w:t>
      </w:r>
      <w:r w:rsidR="002B6D86" w:rsidRPr="002B6D86">
        <w:rPr>
          <w:lang w:val="fr-FR"/>
        </w:rPr>
        <w:br/>
      </w:r>
      <w:r w:rsidRPr="002B6D86">
        <w:rPr>
          <w:lang w:val="fr-FR"/>
        </w:rPr>
        <w:t xml:space="preserve">contre </w:t>
      </w:r>
      <w:r w:rsidR="00F1378A" w:rsidRPr="002B6D86">
        <w:rPr>
          <w:lang w:val="fr-FR"/>
        </w:rPr>
        <w:t>l</w:t>
      </w:r>
      <w:r w:rsidR="002B6D86" w:rsidRPr="002B6D86">
        <w:rPr>
          <w:lang w:val="fr-FR"/>
        </w:rPr>
        <w:t>’</w:t>
      </w:r>
      <w:r w:rsidR="00F1378A" w:rsidRPr="002B6D86">
        <w:rPr>
          <w:lang w:val="fr-FR"/>
        </w:rPr>
        <w:t>Italie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rStyle w:val="JuParaCar"/>
          <w:lang w:val="fr-FR"/>
        </w:rPr>
        <w:t>La Cour européenne des droits de l</w:t>
      </w:r>
      <w:r w:rsidR="002B6D86" w:rsidRPr="002B6D86">
        <w:rPr>
          <w:rStyle w:val="JuParaCar"/>
          <w:lang w:val="fr-FR"/>
        </w:rPr>
        <w:t>’</w:t>
      </w:r>
      <w:r w:rsidRPr="002B6D86">
        <w:rPr>
          <w:rStyle w:val="JuParaCar"/>
          <w:lang w:val="fr-FR"/>
        </w:rPr>
        <w:t xml:space="preserve">homme (première section), siégeant le </w:t>
      </w:r>
      <w:r w:rsidR="00247127" w:rsidRPr="002B6D86">
        <w:rPr>
          <w:rStyle w:val="JuParaCar"/>
          <w:lang w:val="fr-FR"/>
        </w:rPr>
        <w:t>13 décembre 2018</w:t>
      </w:r>
      <w:r w:rsidRPr="002B6D86">
        <w:rPr>
          <w:lang w:val="fr-FR"/>
        </w:rPr>
        <w:t xml:space="preserve"> en un comité composé de :</w:t>
      </w:r>
    </w:p>
    <w:p w:rsidR="00F1378A" w:rsidRPr="002B6D86" w:rsidRDefault="00247127" w:rsidP="002B6D86">
      <w:pPr>
        <w:pStyle w:val="ECHRDecisionBody"/>
        <w:rPr>
          <w:lang w:val="fr-FR"/>
        </w:rPr>
      </w:pPr>
      <w:r w:rsidRPr="002B6D86">
        <w:rPr>
          <w:lang w:val="fr-FR"/>
        </w:rPr>
        <w:tab/>
      </w:r>
      <w:proofErr w:type="spellStart"/>
      <w:r w:rsidRPr="002B6D86">
        <w:rPr>
          <w:lang w:val="fr-FR"/>
        </w:rPr>
        <w:t>Aleš</w:t>
      </w:r>
      <w:proofErr w:type="spellEnd"/>
      <w:r w:rsidRPr="002B6D86">
        <w:rPr>
          <w:lang w:val="fr-FR"/>
        </w:rPr>
        <w:t xml:space="preserve"> </w:t>
      </w:r>
      <w:proofErr w:type="spellStart"/>
      <w:r w:rsidRPr="002B6D86">
        <w:rPr>
          <w:lang w:val="fr-FR"/>
        </w:rPr>
        <w:t>Pejchal</w:t>
      </w:r>
      <w:proofErr w:type="spellEnd"/>
      <w:r w:rsidRPr="002B6D86">
        <w:rPr>
          <w:lang w:val="fr-FR"/>
        </w:rPr>
        <w:t>,</w:t>
      </w:r>
      <w:r w:rsidRPr="002B6D86">
        <w:rPr>
          <w:i/>
          <w:lang w:val="fr-FR"/>
        </w:rPr>
        <w:t xml:space="preserve"> président,</w:t>
      </w:r>
      <w:r w:rsidRPr="002B6D86">
        <w:rPr>
          <w:i/>
          <w:lang w:val="fr-FR"/>
        </w:rPr>
        <w:br/>
      </w:r>
      <w:r w:rsidRPr="002B6D86">
        <w:rPr>
          <w:lang w:val="fr-FR"/>
        </w:rPr>
        <w:tab/>
        <w:t>Jovan Ilievski,</w:t>
      </w:r>
      <w:r w:rsidRPr="002B6D86">
        <w:rPr>
          <w:i/>
          <w:lang w:val="fr-FR"/>
        </w:rPr>
        <w:br/>
      </w:r>
      <w:r w:rsidRPr="002B6D86">
        <w:rPr>
          <w:lang w:val="fr-FR"/>
        </w:rPr>
        <w:tab/>
        <w:t>Gilberto Felici,</w:t>
      </w:r>
      <w:r w:rsidRPr="002B6D86">
        <w:rPr>
          <w:i/>
          <w:lang w:val="fr-FR"/>
        </w:rPr>
        <w:t xml:space="preserve"> juges,</w:t>
      </w:r>
    </w:p>
    <w:p w:rsidR="00F1378A" w:rsidRPr="002B6D86" w:rsidRDefault="00F1378A" w:rsidP="002B6D86">
      <w:pPr>
        <w:pStyle w:val="ECHRDecisionBody"/>
        <w:rPr>
          <w:lang w:val="fr-FR"/>
        </w:rPr>
      </w:pPr>
      <w:r w:rsidRPr="002B6D86">
        <w:rPr>
          <w:lang w:val="fr-FR"/>
        </w:rPr>
        <w:t xml:space="preserve">et de Liv Tigerstedt, </w:t>
      </w:r>
      <w:r w:rsidRPr="002B6D86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2B6D86">
        <w:rPr>
          <w:rFonts w:eastAsia="PMingLiU"/>
          <w:i/>
          <w:lang w:val="fr-FR"/>
        </w:rPr>
        <w:t>f.f</w:t>
      </w:r>
      <w:proofErr w:type="spellEnd"/>
      <w:r w:rsidRPr="002B6D86">
        <w:rPr>
          <w:rFonts w:eastAsia="PMingLiU"/>
          <w:i/>
          <w:lang w:val="fr-FR"/>
        </w:rPr>
        <w:t>.</w:t>
      </w:r>
      <w:r w:rsidRPr="002B6D86">
        <w:rPr>
          <w:lang w:val="fr-FR"/>
        </w:rPr>
        <w:t>,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 xml:space="preserve">Vu </w:t>
      </w:r>
      <w:r w:rsidRPr="002B6D86">
        <w:rPr>
          <w:rFonts w:eastAsia="PMingLiU"/>
          <w:lang w:val="fr-FR"/>
        </w:rPr>
        <w:t xml:space="preserve">la </w:t>
      </w:r>
      <w:r w:rsidRPr="002B6D86">
        <w:rPr>
          <w:lang w:val="fr-FR"/>
        </w:rPr>
        <w:t>requête susmentionnée introduite le 11 avril 2000,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 xml:space="preserve">Vu </w:t>
      </w:r>
      <w:r w:rsidRPr="002B6D86">
        <w:rPr>
          <w:rFonts w:eastAsia="PMingLiU"/>
          <w:lang w:val="fr-FR"/>
        </w:rPr>
        <w:t xml:space="preserve">la </w:t>
      </w:r>
      <w:r w:rsidRPr="002B6D86">
        <w:rPr>
          <w:lang w:val="fr-FR"/>
        </w:rPr>
        <w:t xml:space="preserve">déclaration du gouvernement défendeur invitant la Cour à rayer </w:t>
      </w:r>
      <w:r w:rsidRPr="002B6D86">
        <w:rPr>
          <w:rFonts w:eastAsia="PMingLiU"/>
          <w:lang w:val="fr-FR"/>
        </w:rPr>
        <w:t>la</w:t>
      </w:r>
      <w:r w:rsidRPr="002B6D86">
        <w:rPr>
          <w:lang w:val="fr-FR"/>
        </w:rPr>
        <w:t xml:space="preserve"> requête du rôle ainsi que les réponses des requérants à cette déclaration,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Après en avoir délibéré, rend la décision suivante :</w:t>
      </w:r>
    </w:p>
    <w:p w:rsidR="00F1378A" w:rsidRPr="002B6D86" w:rsidRDefault="00F1378A" w:rsidP="002B6D86">
      <w:pPr>
        <w:pStyle w:val="ECHRTitle1"/>
        <w:rPr>
          <w:rFonts w:eastAsia="PMingLiU"/>
          <w:lang w:val="fr-FR"/>
        </w:rPr>
      </w:pPr>
      <w:r w:rsidRPr="002B6D86">
        <w:rPr>
          <w:rFonts w:eastAsia="PMingLiU"/>
          <w:lang w:val="fr-FR"/>
        </w:rPr>
        <w:t>FAITS ET P</w:t>
      </w:r>
      <w:r w:rsidRPr="002B6D86">
        <w:rPr>
          <w:lang w:val="fr-FR"/>
        </w:rPr>
        <w:t>ROCÉDURE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La liste des requérants se trouve</w:t>
      </w:r>
      <w:r w:rsidRPr="002B6D86">
        <w:rPr>
          <w:rFonts w:eastAsia="PMingLiU"/>
          <w:lang w:val="fr-FR"/>
        </w:rPr>
        <w:t xml:space="preserve"> </w:t>
      </w:r>
      <w:r w:rsidRPr="002B6D86">
        <w:rPr>
          <w:lang w:val="fr-FR"/>
        </w:rPr>
        <w:t>dans le tableau joint en annexe</w:t>
      </w:r>
      <w:r w:rsidRPr="002B6D86">
        <w:rPr>
          <w:rFonts w:eastAsia="PMingLiU"/>
          <w:lang w:val="fr-FR"/>
        </w:rPr>
        <w:t>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Les requérants ont été représentés devant la Cour par M</w:t>
      </w:r>
      <w:r w:rsidRPr="002B6D86">
        <w:rPr>
          <w:vertAlign w:val="superscript"/>
          <w:lang w:val="fr-FR"/>
        </w:rPr>
        <w:t>e</w:t>
      </w:r>
      <w:r w:rsidRPr="002B6D86">
        <w:rPr>
          <w:lang w:val="fr-FR"/>
        </w:rPr>
        <w:t> S. Ferrara, avocat exerçant à Bénévent.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Les griefs que les requérants tiraient des articles 6 § 1 de la Convention et 1 du Protocole n</w:t>
      </w:r>
      <w:r w:rsidRPr="002B6D86">
        <w:rPr>
          <w:vertAlign w:val="superscript"/>
          <w:lang w:val="fr-FR"/>
        </w:rPr>
        <w:t>o</w:t>
      </w:r>
      <w:r w:rsidRPr="002B6D86">
        <w:rPr>
          <w:lang w:val="fr-FR"/>
        </w:rPr>
        <w:t xml:space="preserve"> 1 à la Convention (durée excessive de la procédure </w:t>
      </w:r>
      <w:r w:rsidRPr="002B6D86">
        <w:rPr>
          <w:szCs w:val="24"/>
          <w:lang w:val="fr-FR"/>
        </w:rPr>
        <w:t xml:space="preserve">principale et </w:t>
      </w:r>
      <w:r w:rsidRPr="002B6D86">
        <w:rPr>
          <w:rFonts w:asciiTheme="majorHAnsi" w:hAnsiTheme="majorHAnsi" w:cstheme="majorHAnsi"/>
          <w:bCs/>
          <w:color w:val="000000"/>
          <w:szCs w:val="24"/>
          <w:lang w:val="fr-FR"/>
        </w:rPr>
        <w:t>durée excessive de la procédure Pinto ou inexécution de la décision y relative</w:t>
      </w:r>
      <w:r w:rsidRPr="002B6D86">
        <w:rPr>
          <w:lang w:val="fr-FR"/>
        </w:rPr>
        <w:t>) ont été communiqués au gouvernement italien (« le Gouvernement »).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À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issue de négociations en vue d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 xml:space="preserve">un règlement amiable qui se sont révélées infructueuses, le 3 octobre 2018, le Gouvernement a communiqué à la Cour </w:t>
      </w:r>
      <w:r w:rsidRPr="002B6D86">
        <w:rPr>
          <w:rFonts w:eastAsia="PMingLiU"/>
          <w:lang w:val="fr-FR"/>
        </w:rPr>
        <w:t xml:space="preserve">la </w:t>
      </w:r>
      <w:r w:rsidRPr="002B6D86">
        <w:rPr>
          <w:lang w:val="fr-FR"/>
        </w:rPr>
        <w:t>déclaration en vue de régler les questions soulevées par ces griefs.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 xml:space="preserve">Le Gouvernement reconnaît la durée excessive de la procédure. Il offre de verser aux requérants les sommes reproduites dans le tableau joint en annexe et il invite la Cour à rayer </w:t>
      </w:r>
      <w:r w:rsidRPr="002B6D86">
        <w:rPr>
          <w:rFonts w:eastAsia="PMingLiU"/>
          <w:lang w:val="fr-FR"/>
        </w:rPr>
        <w:t xml:space="preserve">la </w:t>
      </w:r>
      <w:r w:rsidRPr="002B6D86">
        <w:rPr>
          <w:lang w:val="fr-FR"/>
        </w:rPr>
        <w:t>requête du rôle conformément à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article 37 § 1 c) de la Convention.</w:t>
      </w:r>
      <w:r w:rsidRPr="002B6D86">
        <w:rPr>
          <w:szCs w:val="24"/>
          <w:lang w:val="fr-FR"/>
        </w:rPr>
        <w:t xml:space="preserve"> Les sommes indiquées seront</w:t>
      </w:r>
      <w:r w:rsidRPr="002B6D86">
        <w:rPr>
          <w:lang w:val="fr-FR"/>
        </w:rPr>
        <w:t xml:space="preserve"> payables dans un délai de trois mois à compter de la date de la notification de la décision de la Cour. Si </w:t>
      </w:r>
      <w:r w:rsidRPr="002B6D86">
        <w:rPr>
          <w:szCs w:val="24"/>
          <w:lang w:val="fr-FR"/>
        </w:rPr>
        <w:t>elles n</w:t>
      </w:r>
      <w:r w:rsidR="002B6D86" w:rsidRPr="002B6D86">
        <w:rPr>
          <w:szCs w:val="24"/>
          <w:lang w:val="fr-FR"/>
        </w:rPr>
        <w:t>’</w:t>
      </w:r>
      <w:r w:rsidRPr="002B6D86">
        <w:rPr>
          <w:szCs w:val="24"/>
          <w:lang w:val="fr-FR"/>
        </w:rPr>
        <w:t xml:space="preserve">étaient pas versées dans ce délai, le </w:t>
      </w:r>
      <w:r w:rsidRPr="002B6D86">
        <w:rPr>
          <w:szCs w:val="24"/>
          <w:lang w:val="fr-FR"/>
        </w:rPr>
        <w:lastRenderedPageBreak/>
        <w:t>Gouvernement s</w:t>
      </w:r>
      <w:r w:rsidR="002B6D86" w:rsidRPr="002B6D86">
        <w:rPr>
          <w:szCs w:val="24"/>
          <w:lang w:val="fr-FR"/>
        </w:rPr>
        <w:t>’</w:t>
      </w:r>
      <w:r w:rsidRPr="002B6D86">
        <w:rPr>
          <w:szCs w:val="24"/>
          <w:lang w:val="fr-FR"/>
        </w:rPr>
        <w:t xml:space="preserve">engage à les </w:t>
      </w:r>
      <w:r w:rsidRPr="002B6D86">
        <w:rPr>
          <w:lang w:val="fr-FR"/>
        </w:rPr>
        <w:t>majorer, à compter de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expiration du délai et jusqu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au règlement, d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 xml:space="preserve">Le paiement </w:t>
      </w:r>
      <w:r w:rsidRPr="002B6D86">
        <w:rPr>
          <w:rFonts w:eastAsia="PMingLiU"/>
          <w:lang w:val="fr-FR"/>
        </w:rPr>
        <w:t xml:space="preserve">vaudra </w:t>
      </w:r>
      <w:r w:rsidRPr="002B6D86">
        <w:rPr>
          <w:lang w:val="fr-FR"/>
        </w:rPr>
        <w:t>règlement définitif de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affaire.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La déclaration unilatérale a été envoyée aux requérants pour commentaires et le 7 novembre 2018, la Cour a reçu la réponse de leur représentant. Les requérants marqués d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un astérisque dans le tableau annexé ont informé la Cour qu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ils souscrivaient aux termes de la déclaration. Les autres requérants ont informé la Cour qu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ils n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acceptent pas les termes de la déclaration.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szCs w:val="24"/>
          <w:lang w:val="fr-FR"/>
        </w:rPr>
        <w:t>Le représentant des requérants a aussi informé le greffe de la Cour de ce que M</w:t>
      </w:r>
      <w:r w:rsidRPr="002B6D86">
        <w:rPr>
          <w:szCs w:val="24"/>
          <w:vertAlign w:val="superscript"/>
          <w:lang w:val="fr-FR"/>
        </w:rPr>
        <w:t>me</w:t>
      </w:r>
      <w:r w:rsidRPr="002B6D86">
        <w:rPr>
          <w:szCs w:val="24"/>
          <w:lang w:val="fr-FR"/>
        </w:rPr>
        <w:t xml:space="preserve"> Maria Angela </w:t>
      </w:r>
      <w:proofErr w:type="spellStart"/>
      <w:r w:rsidRPr="002B6D86">
        <w:rPr>
          <w:szCs w:val="24"/>
          <w:lang w:val="fr-FR"/>
        </w:rPr>
        <w:t>Cataldo</w:t>
      </w:r>
      <w:proofErr w:type="spellEnd"/>
      <w:r w:rsidRPr="002B6D86">
        <w:rPr>
          <w:szCs w:val="24"/>
          <w:lang w:val="fr-FR"/>
        </w:rPr>
        <w:t xml:space="preserve"> est </w:t>
      </w:r>
      <w:r w:rsidRPr="002B6D86">
        <w:rPr>
          <w:rFonts w:ascii="Times New Roman" w:eastAsia="PMingLiU" w:hAnsi="Times New Roman" w:cs="Times New Roman"/>
          <w:szCs w:val="24"/>
          <w:lang w:val="fr-FR"/>
        </w:rPr>
        <w:t xml:space="preserve">décédée en 2016 </w:t>
      </w:r>
      <w:r w:rsidRPr="002B6D86">
        <w:rPr>
          <w:lang w:val="fr-FR"/>
        </w:rPr>
        <w:t>et que sa requête devant la Cour ne serait pas maintenue</w:t>
      </w:r>
      <w:r w:rsidRPr="002B6D86">
        <w:rPr>
          <w:rFonts w:ascii="Times New Roman" w:eastAsia="PMingLiU" w:hAnsi="Times New Roman" w:cs="Times New Roman"/>
          <w:color w:val="474747" w:themeColor="accent3" w:themeShade="BF"/>
          <w:szCs w:val="24"/>
          <w:lang w:val="fr-FR"/>
        </w:rPr>
        <w:t>.</w:t>
      </w:r>
    </w:p>
    <w:p w:rsidR="00F1378A" w:rsidRPr="002B6D86" w:rsidRDefault="00F1378A" w:rsidP="002B6D86">
      <w:pPr>
        <w:pStyle w:val="ECHRTitle1"/>
        <w:rPr>
          <w:rFonts w:eastAsia="PMingLiU"/>
          <w:lang w:val="fr-FR"/>
        </w:rPr>
      </w:pPr>
      <w:r w:rsidRPr="002B6D86">
        <w:rPr>
          <w:rFonts w:eastAsia="PMingLiU"/>
          <w:lang w:val="fr-FR"/>
        </w:rPr>
        <w:t>EN DROIT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La Cour estime que, une partie des requérants ayant expressément accepté les termes de la déclaration du Gouvernement, il y a lieu de conclure que la partie de la requête les concernant a fait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objet d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un règlement amiable entre les parties.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Pour cette partie de la requête, la Cour prend donc acte de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accord intervenu entre les parties. Elle considère que cet accord repose sur le respect des droits de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homme garantis par la Convention et ses Protocoles et ne voit pas de raison qui exigerait qu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elle poursuive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examen de la requête concernée.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En ce qui concerne les requérants qui n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ont pas accepté les termes de la déclaration susmentionnée, la Cour rappelle que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article 37 § 1 c) de la Convention lui permet de rayer une affaire du rôle si :</w:t>
      </w:r>
    </w:p>
    <w:p w:rsidR="00F1378A" w:rsidRPr="002B6D86" w:rsidRDefault="00F1378A" w:rsidP="002B6D86">
      <w:pPr>
        <w:pStyle w:val="ECHRParaQuote"/>
        <w:rPr>
          <w:lang w:val="fr-FR"/>
        </w:rPr>
      </w:pPr>
      <w:r w:rsidRPr="002B6D86">
        <w:rPr>
          <w:lang w:val="fr-FR"/>
        </w:rPr>
        <w:t>« (...) pour tout autre motif dont [elle] constate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existence, il ne se justifie plus de poursuivre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examen de la requête ».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Ainsi, en vertu de cette disposition, la Cour peut rayer des requêtes du rôle sur le fondement d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une déclaration unilatérale du gouvernement défendeur, même si les requérants souhaitent que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 xml:space="preserve">examen de leur affaire se poursuive (voir, en particulier, </w:t>
      </w:r>
      <w:proofErr w:type="spellStart"/>
      <w:r w:rsidRPr="002B6D86">
        <w:rPr>
          <w:i/>
          <w:lang w:val="fr-FR"/>
        </w:rPr>
        <w:t>Tahsin</w:t>
      </w:r>
      <w:proofErr w:type="spellEnd"/>
      <w:r w:rsidRPr="002B6D86">
        <w:rPr>
          <w:i/>
          <w:lang w:val="fr-FR"/>
        </w:rPr>
        <w:t xml:space="preserve"> </w:t>
      </w:r>
      <w:proofErr w:type="spellStart"/>
      <w:r w:rsidRPr="002B6D86">
        <w:rPr>
          <w:i/>
          <w:lang w:val="fr-FR"/>
        </w:rPr>
        <w:t>Acar</w:t>
      </w:r>
      <w:proofErr w:type="spellEnd"/>
      <w:r w:rsidRPr="002B6D86">
        <w:rPr>
          <w:i/>
          <w:lang w:val="fr-FR"/>
        </w:rPr>
        <w:t xml:space="preserve"> c. Turquie</w:t>
      </w:r>
      <w:r w:rsidRPr="002B6D86">
        <w:rPr>
          <w:lang w:val="fr-FR"/>
        </w:rPr>
        <w:t xml:space="preserve"> </w:t>
      </w:r>
      <w:r w:rsidRPr="002B6D86">
        <w:rPr>
          <w:iCs/>
          <w:lang w:val="fr-FR"/>
        </w:rPr>
        <w:t>(question préliminaire)</w:t>
      </w:r>
      <w:r w:rsidRPr="002B6D86">
        <w:rPr>
          <w:lang w:val="fr-FR"/>
        </w:rPr>
        <w:t xml:space="preserve"> [GC], n</w:t>
      </w:r>
      <w:r w:rsidRPr="002B6D86">
        <w:rPr>
          <w:vertAlign w:val="superscript"/>
          <w:lang w:val="fr-FR"/>
        </w:rPr>
        <w:t>o</w:t>
      </w:r>
      <w:r w:rsidRPr="002B6D86">
        <w:rPr>
          <w:lang w:val="fr-FR"/>
        </w:rPr>
        <w:t> 26307/95, §§ 75</w:t>
      </w:r>
      <w:r w:rsidRPr="002B6D86">
        <w:rPr>
          <w:lang w:val="fr-FR"/>
        </w:rPr>
        <w:noBreakHyphen/>
        <w:t>77, CEDH 2003</w:t>
      </w:r>
      <w:r w:rsidRPr="002B6D86">
        <w:rPr>
          <w:lang w:val="fr-FR"/>
        </w:rPr>
        <w:noBreakHyphen/>
        <w:t>VI).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 xml:space="preserve">La jurisprudence de la Cour en matière de la durée excessive de la procédure civile est claire et abondante (voir, par exemple, </w:t>
      </w:r>
      <w:proofErr w:type="spellStart"/>
      <w:r w:rsidRPr="002B6D86">
        <w:rPr>
          <w:i/>
          <w:lang w:val="fr-FR"/>
        </w:rPr>
        <w:t>Cocchiarella</w:t>
      </w:r>
      <w:proofErr w:type="spellEnd"/>
      <w:r w:rsidRPr="002B6D86">
        <w:rPr>
          <w:i/>
          <w:lang w:val="fr-FR"/>
        </w:rPr>
        <w:t xml:space="preserve"> c. Italie </w:t>
      </w:r>
      <w:r w:rsidRPr="002B6D86">
        <w:rPr>
          <w:lang w:val="fr-FR"/>
        </w:rPr>
        <w:t>[GC],</w:t>
      </w:r>
      <w:r w:rsidRPr="002B6D86">
        <w:rPr>
          <w:i/>
          <w:lang w:val="fr-FR"/>
        </w:rPr>
        <w:t xml:space="preserve"> </w:t>
      </w:r>
      <w:r w:rsidRPr="002B6D86">
        <w:rPr>
          <w:lang w:val="fr-FR"/>
        </w:rPr>
        <w:t>no 64886/01, CEDH 2006</w:t>
      </w:r>
      <w:r w:rsidRPr="002B6D86">
        <w:rPr>
          <w:rFonts w:ascii="MS Mincho" w:eastAsia="MS Mincho" w:hAnsi="MS Mincho" w:cs="MS Mincho" w:hint="eastAsia"/>
          <w:lang w:val="fr-FR"/>
        </w:rPr>
        <w:t>‑</w:t>
      </w:r>
      <w:r w:rsidRPr="002B6D86">
        <w:rPr>
          <w:lang w:val="fr-FR"/>
        </w:rPr>
        <w:t>V). Eu égard aux concessions que renferme la déclaration</w:t>
      </w:r>
      <w:r w:rsidRPr="002B6D86">
        <w:rPr>
          <w:szCs w:val="24"/>
          <w:lang w:val="fr-FR"/>
        </w:rPr>
        <w:t xml:space="preserve"> </w:t>
      </w:r>
      <w:r w:rsidRPr="002B6D86">
        <w:rPr>
          <w:lang w:val="fr-FR"/>
        </w:rPr>
        <w:t>du Gouvernement et compte tenu des circonstances particulière de cette affaire, la Cour estime qu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il ne se justifie plus de poursuivre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examen de la requête</w:t>
      </w:r>
      <w:r w:rsidRPr="002B6D86">
        <w:rPr>
          <w:szCs w:val="24"/>
          <w:lang w:val="fr-FR"/>
        </w:rPr>
        <w:t xml:space="preserve"> </w:t>
      </w:r>
      <w:r w:rsidRPr="002B6D86">
        <w:rPr>
          <w:lang w:val="fr-FR"/>
        </w:rPr>
        <w:t>(article 37 § 1 c)).</w:t>
      </w:r>
    </w:p>
    <w:p w:rsidR="00F1378A" w:rsidRPr="002B6D86" w:rsidRDefault="00F1378A" w:rsidP="002B6D86">
      <w:pPr>
        <w:pStyle w:val="ECHRPara"/>
        <w:keepNext/>
        <w:keepLines/>
        <w:rPr>
          <w:rStyle w:val="ECHRParaChar"/>
          <w:szCs w:val="24"/>
          <w:lang w:val="fr-FR"/>
        </w:rPr>
      </w:pPr>
      <w:r w:rsidRPr="002B6D86">
        <w:rPr>
          <w:lang w:val="fr-FR"/>
        </w:rPr>
        <w:lastRenderedPageBreak/>
        <w:t>En outre, à la lumière des considérations qui précèdent, la Cour estime que le respect des droits de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homme garantis par la Convention et ses Protocoles n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exige pas par ailleurs qu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elle poursuive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 xml:space="preserve">examen de la requête (article 37 § 1 </w:t>
      </w:r>
      <w:r w:rsidRPr="002B6D86">
        <w:rPr>
          <w:i/>
          <w:lang w:val="fr-FR"/>
        </w:rPr>
        <w:t>in fine</w:t>
      </w:r>
      <w:r w:rsidRPr="002B6D86">
        <w:rPr>
          <w:lang w:val="fr-FR"/>
        </w:rPr>
        <w:t>).</w:t>
      </w:r>
    </w:p>
    <w:p w:rsidR="00F1378A" w:rsidRPr="002B6D86" w:rsidRDefault="00F1378A" w:rsidP="002B6D86">
      <w:pPr>
        <w:pStyle w:val="ECHRPara"/>
        <w:rPr>
          <w:lang w:val="fr-FR"/>
        </w:rPr>
      </w:pPr>
      <w:r w:rsidRPr="002B6D86">
        <w:rPr>
          <w:lang w:val="fr-FR"/>
        </w:rPr>
        <w:t>Compte tenu de ce qui précède et des informations fournies par les requérants il y a lieu de rayer cette requête</w:t>
      </w:r>
      <w:r w:rsidRPr="002B6D86">
        <w:rPr>
          <w:szCs w:val="24"/>
          <w:lang w:val="fr-FR"/>
        </w:rPr>
        <w:t xml:space="preserve"> </w:t>
      </w:r>
      <w:r w:rsidRPr="002B6D86">
        <w:rPr>
          <w:lang w:val="fr-FR"/>
        </w:rPr>
        <w:t>du rôle.</w:t>
      </w:r>
    </w:p>
    <w:p w:rsidR="00F1378A" w:rsidRPr="002B6D86" w:rsidRDefault="00F1378A" w:rsidP="002B6D86">
      <w:pPr>
        <w:pStyle w:val="JuParaLast"/>
        <w:rPr>
          <w:lang w:val="fr-FR"/>
        </w:rPr>
      </w:pPr>
      <w:r w:rsidRPr="002B6D86">
        <w:rPr>
          <w:lang w:val="fr-FR"/>
        </w:rPr>
        <w:t>Par ces motifs, la Cour, à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unanimité,</w:t>
      </w:r>
    </w:p>
    <w:p w:rsidR="00F1378A" w:rsidRPr="002B6D86" w:rsidRDefault="00F1378A" w:rsidP="002B6D86">
      <w:pPr>
        <w:pStyle w:val="DecList"/>
        <w:rPr>
          <w:rFonts w:eastAsia="PMingLiU"/>
          <w:lang w:val="fr-FR" w:eastAsia="en-GB"/>
        </w:rPr>
      </w:pPr>
      <w:r w:rsidRPr="002B6D86">
        <w:rPr>
          <w:i/>
          <w:lang w:val="fr-FR"/>
        </w:rPr>
        <w:t>Décide</w:t>
      </w:r>
      <w:r w:rsidRPr="002B6D86">
        <w:rPr>
          <w:lang w:val="fr-FR"/>
        </w:rPr>
        <w:t xml:space="preserve"> de rayer </w:t>
      </w:r>
      <w:r w:rsidRPr="002B6D86">
        <w:rPr>
          <w:szCs w:val="24"/>
          <w:lang w:val="fr-FR"/>
        </w:rPr>
        <w:t xml:space="preserve">du rôle </w:t>
      </w:r>
      <w:r w:rsidRPr="002B6D86">
        <w:rPr>
          <w:lang w:val="fr-FR"/>
        </w:rPr>
        <w:t>la partie de la requête concernant les requérants marqués d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 xml:space="preserve">un astérisque dans le tableau annexé </w:t>
      </w:r>
      <w:r w:rsidRPr="002B6D86">
        <w:rPr>
          <w:szCs w:val="24"/>
          <w:lang w:val="fr-FR"/>
        </w:rPr>
        <w:t>conformément à l</w:t>
      </w:r>
      <w:r w:rsidR="002B6D86" w:rsidRPr="002B6D86">
        <w:rPr>
          <w:szCs w:val="24"/>
          <w:lang w:val="fr-FR"/>
        </w:rPr>
        <w:t>’</w:t>
      </w:r>
      <w:r w:rsidRPr="002B6D86">
        <w:rPr>
          <w:szCs w:val="24"/>
          <w:lang w:val="fr-FR"/>
        </w:rPr>
        <w:t>article 39 de la Convention </w:t>
      </w:r>
      <w:r w:rsidRPr="002B6D86">
        <w:rPr>
          <w:rFonts w:eastAsia="PMingLiU"/>
          <w:lang w:val="fr-FR" w:eastAsia="en-GB"/>
        </w:rPr>
        <w:t>;</w:t>
      </w:r>
    </w:p>
    <w:p w:rsidR="00F1378A" w:rsidRPr="002B6D86" w:rsidRDefault="00F1378A" w:rsidP="002B6D86">
      <w:pPr>
        <w:pStyle w:val="DecList"/>
        <w:rPr>
          <w:lang w:val="fr-FR"/>
        </w:rPr>
      </w:pPr>
      <w:r w:rsidRPr="002B6D86">
        <w:rPr>
          <w:i/>
          <w:lang w:val="fr-FR"/>
        </w:rPr>
        <w:t>Décide</w:t>
      </w:r>
      <w:r w:rsidRPr="002B6D86">
        <w:rPr>
          <w:lang w:val="fr-FR"/>
        </w:rPr>
        <w:t xml:space="preserve"> de rayer le restant de la</w:t>
      </w:r>
      <w:r w:rsidRPr="002B6D86">
        <w:rPr>
          <w:rFonts w:ascii="Times New Roman" w:eastAsia="PMingLiU" w:hAnsi="Times New Roman" w:cs="Times New Roman"/>
          <w:lang w:val="fr-FR"/>
        </w:rPr>
        <w:t xml:space="preserve"> </w:t>
      </w:r>
      <w:r w:rsidRPr="002B6D86">
        <w:rPr>
          <w:lang w:val="fr-FR"/>
        </w:rPr>
        <w:t>requête du rôle en vertu de l</w:t>
      </w:r>
      <w:r w:rsidR="002B6D86" w:rsidRPr="002B6D86">
        <w:rPr>
          <w:lang w:val="fr-FR"/>
        </w:rPr>
        <w:t>’</w:t>
      </w:r>
      <w:r w:rsidRPr="002B6D86">
        <w:rPr>
          <w:lang w:val="fr-FR"/>
        </w:rPr>
        <w:t>article 37 § 1 c) de la Convention.</w:t>
      </w:r>
    </w:p>
    <w:p w:rsidR="005E50CB" w:rsidRPr="002B6D86" w:rsidRDefault="005E50CB" w:rsidP="002B6D86">
      <w:pPr>
        <w:pStyle w:val="JuParaLast"/>
        <w:rPr>
          <w:lang w:val="fr-FR"/>
        </w:rPr>
      </w:pPr>
      <w:r w:rsidRPr="002B6D86">
        <w:rPr>
          <w:szCs w:val="24"/>
          <w:lang w:val="fr-FR"/>
        </w:rPr>
        <w:t xml:space="preserve">Fait en français puis communiqué par écrit le </w:t>
      </w:r>
      <w:r w:rsidR="00F1378A" w:rsidRPr="002B6D86">
        <w:rPr>
          <w:szCs w:val="24"/>
          <w:lang w:val="fr-FR"/>
        </w:rPr>
        <w:t>17 janvier 2019</w:t>
      </w:r>
      <w:r w:rsidRPr="002B6D86">
        <w:rPr>
          <w:lang w:val="fr-FR"/>
        </w:rPr>
        <w:t>.</w:t>
      </w:r>
    </w:p>
    <w:p w:rsidR="00F1378A" w:rsidRPr="002B6D86" w:rsidRDefault="00247127" w:rsidP="002B6D86">
      <w:pPr>
        <w:pStyle w:val="JuSigned"/>
        <w:rPr>
          <w:szCs w:val="24"/>
          <w:lang w:val="fr-FR"/>
        </w:rPr>
        <w:sectPr w:rsidR="00F1378A" w:rsidRPr="002B6D86" w:rsidSect="00126910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985" w:right="2274" w:bottom="2274" w:left="2274" w:header="1276" w:footer="720" w:gutter="0"/>
          <w:cols w:space="720"/>
          <w:titlePg/>
          <w:docGrid w:linePitch="326"/>
        </w:sectPr>
      </w:pPr>
      <w:r w:rsidRPr="002B6D86">
        <w:rPr>
          <w:lang w:val="fr-FR"/>
        </w:rPr>
        <w:tab/>
        <w:t xml:space="preserve">Liv </w:t>
      </w:r>
      <w:proofErr w:type="spellStart"/>
      <w:r w:rsidRPr="002B6D86">
        <w:rPr>
          <w:lang w:val="fr-FR"/>
        </w:rPr>
        <w:t>Tigerstedt</w:t>
      </w:r>
      <w:proofErr w:type="spellEnd"/>
      <w:r w:rsidRPr="002B6D86">
        <w:rPr>
          <w:lang w:val="fr-FR"/>
        </w:rPr>
        <w:tab/>
      </w:r>
      <w:proofErr w:type="spellStart"/>
      <w:r w:rsidRPr="002B6D86">
        <w:rPr>
          <w:lang w:val="fr-FR"/>
        </w:rPr>
        <w:t>Aleš</w:t>
      </w:r>
      <w:proofErr w:type="spellEnd"/>
      <w:r w:rsidRPr="002B6D86">
        <w:rPr>
          <w:lang w:val="fr-FR"/>
        </w:rPr>
        <w:t xml:space="preserve"> </w:t>
      </w:r>
      <w:proofErr w:type="spellStart"/>
      <w:r w:rsidRPr="002B6D86">
        <w:rPr>
          <w:lang w:val="fr-FR"/>
        </w:rPr>
        <w:t>Pejchal</w:t>
      </w:r>
      <w:proofErr w:type="spellEnd"/>
      <w:r w:rsidRPr="002B6D86">
        <w:rPr>
          <w:lang w:val="fr-FR"/>
        </w:rPr>
        <w:br/>
      </w:r>
      <w:r w:rsidRPr="002B6D86">
        <w:rPr>
          <w:lang w:val="fr-FR"/>
        </w:rPr>
        <w:tab/>
        <w:t>G</w:t>
      </w:r>
      <w:r w:rsidRPr="002B6D86">
        <w:rPr>
          <w:rFonts w:eastAsia="PMingLiU"/>
          <w:lang w:val="fr-FR"/>
        </w:rPr>
        <w:t xml:space="preserve">reffière adjointe </w:t>
      </w:r>
      <w:proofErr w:type="spellStart"/>
      <w:r w:rsidRPr="002B6D86">
        <w:rPr>
          <w:rFonts w:eastAsia="PMingLiU"/>
          <w:lang w:val="fr-FR"/>
        </w:rPr>
        <w:t>f.f</w:t>
      </w:r>
      <w:proofErr w:type="spellEnd"/>
      <w:r w:rsidRPr="002B6D86">
        <w:rPr>
          <w:rFonts w:eastAsia="PMingLiU"/>
          <w:lang w:val="fr-FR"/>
        </w:rPr>
        <w:t>.</w:t>
      </w:r>
      <w:r w:rsidRPr="002B6D86">
        <w:rPr>
          <w:lang w:val="fr-FR"/>
        </w:rPr>
        <w:tab/>
        <w:t>Président</w:t>
      </w:r>
    </w:p>
    <w:p w:rsidR="00F1378A" w:rsidRPr="002B6D86" w:rsidRDefault="00F1378A" w:rsidP="002B6D86">
      <w:pPr>
        <w:pStyle w:val="JuTitle"/>
        <w:spacing w:before="0"/>
        <w:ind w:right="-2274" w:hanging="2268"/>
        <w:rPr>
          <w:lang w:val="fr-FR"/>
        </w:rPr>
      </w:pPr>
      <w:r w:rsidRPr="002B6D86">
        <w:rPr>
          <w:lang w:val="fr-FR"/>
        </w:rPr>
        <w:lastRenderedPageBreak/>
        <w:t>ANNEXE</w:t>
      </w:r>
    </w:p>
    <w:tbl>
      <w:tblPr>
        <w:tblStyle w:val="ECHRListTable"/>
        <w:tblW w:w="13148" w:type="dxa"/>
        <w:jc w:val="center"/>
        <w:tblLayout w:type="fixed"/>
        <w:tblLook w:val="04A0" w:firstRow="1" w:lastRow="0" w:firstColumn="1" w:lastColumn="0" w:noHBand="0" w:noVBand="1"/>
      </w:tblPr>
      <w:tblGrid>
        <w:gridCol w:w="1442"/>
        <w:gridCol w:w="2977"/>
        <w:gridCol w:w="1569"/>
        <w:gridCol w:w="1524"/>
        <w:gridCol w:w="3941"/>
        <w:gridCol w:w="1695"/>
      </w:tblGrid>
      <w:tr w:rsidR="00F1378A" w:rsidRPr="002B6D86" w:rsidTr="00D8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jc w:val="center"/>
        </w:trPr>
        <w:tc>
          <w:tcPr>
            <w:tcW w:w="1442" w:type="dxa"/>
            <w:vAlign w:val="center"/>
          </w:tcPr>
          <w:p w:rsidR="00F1378A" w:rsidRPr="002B6D86" w:rsidRDefault="00F1378A" w:rsidP="002B6D86">
            <w:pPr>
              <w:spacing w:before="160" w:after="160"/>
              <w:ind w:left="-57" w:right="-57"/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bookmarkStart w:id="1" w:name="TableStart"/>
            <w:bookmarkEnd w:id="1"/>
            <w:r w:rsidRPr="002B6D86">
              <w:rPr>
                <w:sz w:val="18"/>
                <w:szCs w:val="18"/>
                <w:lang w:val="fr-FR"/>
              </w:rPr>
              <w:t>Numéro et date d</w:t>
            </w:r>
            <w:r w:rsidR="002B6D86" w:rsidRPr="002B6D86">
              <w:rPr>
                <w:sz w:val="18"/>
                <w:szCs w:val="18"/>
                <w:lang w:val="fr-FR"/>
              </w:rPr>
              <w:t>’</w:t>
            </w:r>
            <w:r w:rsidRPr="002B6D86">
              <w:rPr>
                <w:sz w:val="18"/>
                <w:szCs w:val="18"/>
                <w:lang w:val="fr-FR"/>
              </w:rPr>
              <w:t>introduction de la requête</w:t>
            </w:r>
          </w:p>
        </w:tc>
        <w:tc>
          <w:tcPr>
            <w:tcW w:w="2977" w:type="dxa"/>
            <w:vAlign w:val="center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sz w:val="18"/>
                <w:szCs w:val="18"/>
                <w:lang w:val="fr-FR"/>
              </w:rPr>
              <w:t>Nom du requérant et date de naissance/décès</w:t>
            </w:r>
          </w:p>
        </w:tc>
        <w:tc>
          <w:tcPr>
            <w:tcW w:w="1569" w:type="dxa"/>
            <w:vAlign w:val="center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pacing w:val="-4"/>
                <w:sz w:val="18"/>
                <w:szCs w:val="18"/>
                <w:lang w:val="fr-FR"/>
              </w:rPr>
            </w:pPr>
            <w:r w:rsidRPr="002B6D86">
              <w:rPr>
                <w:sz w:val="18"/>
                <w:szCs w:val="18"/>
                <w:lang w:val="fr-FR"/>
              </w:rPr>
              <w:t>Date de réception de la déclaration du Gouvernement</w:t>
            </w:r>
          </w:p>
        </w:tc>
        <w:tc>
          <w:tcPr>
            <w:tcW w:w="1524" w:type="dxa"/>
            <w:vAlign w:val="center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sz w:val="18"/>
                <w:szCs w:val="18"/>
                <w:lang w:val="fr-FR"/>
              </w:rPr>
              <w:t>Date de réception de la lettre du requérant</w:t>
            </w:r>
          </w:p>
        </w:tc>
        <w:tc>
          <w:tcPr>
            <w:tcW w:w="3941" w:type="dxa"/>
            <w:vAlign w:val="center"/>
          </w:tcPr>
          <w:p w:rsidR="00F1378A" w:rsidRPr="002B6D86" w:rsidRDefault="00F1378A" w:rsidP="002B6D86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Theme="majorHAnsi" w:hAnsiTheme="majorHAnsi" w:cstheme="majorHAnsi"/>
                <w:bCs/>
                <w:sz w:val="18"/>
                <w:szCs w:val="18"/>
                <w:lang w:val="fr-FR"/>
              </w:rPr>
              <w:t>Montant alloué pour dommage moral pour la durée de la procédure principale et pour la durée excessive ou l</w:t>
            </w:r>
            <w:r w:rsidR="002B6D86" w:rsidRPr="002B6D86">
              <w:rPr>
                <w:rFonts w:asciiTheme="majorHAnsi" w:hAnsiTheme="majorHAnsi" w:cstheme="majorHAnsi"/>
                <w:bCs/>
                <w:sz w:val="18"/>
                <w:szCs w:val="18"/>
                <w:lang w:val="fr-FR"/>
              </w:rPr>
              <w:t>’</w:t>
            </w:r>
            <w:r w:rsidRPr="002B6D86">
              <w:rPr>
                <w:rFonts w:asciiTheme="majorHAnsi" w:hAnsiTheme="majorHAnsi" w:cstheme="majorHAnsi"/>
                <w:bCs/>
                <w:sz w:val="18"/>
                <w:szCs w:val="18"/>
                <w:lang w:val="fr-FR"/>
              </w:rPr>
              <w:t>inexécution de la procédure Pinto (en euros)</w:t>
            </w:r>
            <w:r w:rsidR="00273E28" w:rsidRPr="002B6D86">
              <w:rPr>
                <w:rFonts w:asciiTheme="majorHAnsi" w:hAnsiTheme="majorHAnsi" w:cstheme="majorHAnsi"/>
                <w:bCs/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695" w:type="dxa"/>
            <w:vAlign w:val="center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bCs/>
                <w:sz w:val="18"/>
                <w:szCs w:val="18"/>
                <w:lang w:val="fr-FR" w:eastAsia="fr-FR"/>
              </w:rPr>
              <w:t>Montant alloué pour frais et dépens par requête (en euros</w:t>
            </w: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)</w:t>
            </w:r>
            <w:r w:rsidR="00273E28" w:rsidRPr="002B6D86">
              <w:rPr>
                <w:rFonts w:ascii="Times New Roman" w:eastAsia="PMingLiU" w:hAnsi="Times New Roman" w:cs="Times New Roman"/>
                <w:sz w:val="18"/>
                <w:szCs w:val="18"/>
                <w:vertAlign w:val="superscript"/>
                <w:lang w:val="fr-FR"/>
              </w:rPr>
              <w:t>2</w:t>
            </w:r>
          </w:p>
        </w:tc>
      </w:tr>
      <w:tr w:rsidR="00F1378A" w:rsidRPr="002B6D86" w:rsidTr="00D809DC">
        <w:trPr>
          <w:jc w:val="center"/>
        </w:trPr>
        <w:tc>
          <w:tcPr>
            <w:tcW w:w="1442" w:type="dxa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bookmarkStart w:id="2" w:name="WECLListStart"/>
            <w:bookmarkEnd w:id="2"/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28840/03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11/04/2000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 xml:space="preserve">(6 </w:t>
            </w:r>
            <w:r w:rsidR="00154142"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requérants</w:t>
            </w: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2977" w:type="dxa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Guido Antonio Cataldo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28/10/1941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2B6D86">
              <w:rPr>
                <w:rFonts w:eastAsia="PMingLiU" w:cstheme="minorHAnsi"/>
                <w:sz w:val="18"/>
                <w:szCs w:val="18"/>
                <w:lang w:val="it-IT"/>
              </w:rPr>
              <w:t>*</w:t>
            </w: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Maria Pia A</w:t>
            </w:r>
            <w:r w:rsidR="00154142"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iello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09/12/1967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2B6D86">
              <w:rPr>
                <w:rFonts w:eastAsia="PMingLiU" w:cstheme="minorHAnsi"/>
                <w:sz w:val="18"/>
                <w:szCs w:val="18"/>
                <w:lang w:val="it-IT"/>
              </w:rPr>
              <w:t>*</w:t>
            </w: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Floriana C</w:t>
            </w:r>
            <w:r w:rsidR="00154142"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ataldo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25/03/1972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2B6D86">
              <w:rPr>
                <w:rFonts w:eastAsia="PMingLiU" w:cstheme="minorHAnsi"/>
                <w:sz w:val="18"/>
                <w:szCs w:val="18"/>
                <w:lang w:val="it-IT"/>
              </w:rPr>
              <w:t>*</w:t>
            </w: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Giovanbattista C</w:t>
            </w:r>
            <w:r w:rsidR="00154142"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ataldo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  <w:t>26/11/1938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Luca C</w:t>
            </w:r>
            <w:r w:rsidR="00154142"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ataldo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26/04/1979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fr-FR"/>
              </w:rPr>
              <w:t xml:space="preserve">Maria Angela </w:t>
            </w:r>
            <w:proofErr w:type="spellStart"/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fr-FR"/>
              </w:rPr>
              <w:t>C</w:t>
            </w:r>
            <w:r w:rsidR="00154142"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fr-FR"/>
              </w:rPr>
              <w:t>ataldo</w:t>
            </w:r>
            <w:proofErr w:type="spellEnd"/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23/04/1937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La requérante est décédée en 2016 et sa requête n</w:t>
            </w:r>
            <w:r w:rsidR="002B6D86"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’</w:t>
            </w: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est pas maintenue</w:t>
            </w:r>
          </w:p>
        </w:tc>
        <w:tc>
          <w:tcPr>
            <w:tcW w:w="1569" w:type="dxa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03/10/2018</w:t>
            </w:r>
          </w:p>
        </w:tc>
        <w:tc>
          <w:tcPr>
            <w:tcW w:w="1524" w:type="dxa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07/11/2018</w:t>
            </w:r>
          </w:p>
        </w:tc>
        <w:tc>
          <w:tcPr>
            <w:tcW w:w="3941" w:type="dxa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1</w:t>
            </w:r>
            <w:r w:rsidR="00154142"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300</w:t>
            </w:r>
            <w:r w:rsidR="00154142"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 xml:space="preserve"> euros</w:t>
            </w:r>
          </w:p>
          <w:p w:rsidR="00F1378A" w:rsidRPr="002B6D86" w:rsidRDefault="00154142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a</w:t>
            </w:r>
            <w:r w:rsidR="00F1378A"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lloués uniquement aux requérants suivants :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Maria Pia A</w:t>
            </w:r>
            <w:r w:rsidR="00154142"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iello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Floriana C</w:t>
            </w:r>
            <w:r w:rsidR="00154142"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ataldo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</w:pPr>
            <w:r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Giovanbattista C</w:t>
            </w:r>
            <w:r w:rsidR="00154142" w:rsidRPr="002B6D86">
              <w:rPr>
                <w:rFonts w:ascii="Times New Roman" w:eastAsia="PMingLiU" w:hAnsi="Times New Roman" w:cs="Times New Roman"/>
                <w:b/>
                <w:sz w:val="18"/>
                <w:szCs w:val="18"/>
                <w:lang w:val="it-IT"/>
              </w:rPr>
              <w:t>ataldo</w:t>
            </w:r>
          </w:p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695" w:type="dxa"/>
          </w:tcPr>
          <w:p w:rsidR="00F1378A" w:rsidRPr="002B6D86" w:rsidRDefault="00F1378A" w:rsidP="002B6D86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2B6D86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300</w:t>
            </w:r>
          </w:p>
        </w:tc>
      </w:tr>
    </w:tbl>
    <w:p w:rsidR="0001198D" w:rsidRPr="002B6D86" w:rsidRDefault="0001198D" w:rsidP="002B6D86"/>
    <w:p w:rsidR="0001198D" w:rsidRPr="002B6D86" w:rsidRDefault="0001198D" w:rsidP="002B6D86"/>
    <w:p w:rsidR="0001198D" w:rsidRPr="002B6D86" w:rsidRDefault="0001198D" w:rsidP="002B6D86">
      <w:pPr>
        <w:rPr>
          <w:b/>
          <w:lang w:val="fr-FR"/>
        </w:rPr>
      </w:pPr>
      <w:r w:rsidRPr="002B6D86">
        <w:rPr>
          <w:b/>
          <w:lang w:val="fr-FR"/>
        </w:rPr>
        <w:t>_______________________</w:t>
      </w:r>
    </w:p>
    <w:p w:rsidR="0001198D" w:rsidRPr="002B6D86" w:rsidRDefault="0001198D" w:rsidP="002B6D86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2B6D86">
        <w:rPr>
          <w:sz w:val="16"/>
          <w:szCs w:val="16"/>
          <w:lang w:val="fr-FR"/>
        </w:rPr>
        <w:t>1.</w:t>
      </w:r>
      <w:r w:rsidRPr="002B6D86">
        <w:rPr>
          <w:lang w:val="fr-FR"/>
        </w:rPr>
        <w:t>  </w:t>
      </w:r>
      <w:r w:rsidRPr="002B6D86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</w:t>
      </w:r>
      <w:r w:rsidR="002B6D86" w:rsidRPr="002B6D86">
        <w:rPr>
          <w:rFonts w:ascii="Times New Roman" w:hAnsi="Times New Roman" w:cs="Times New Roman"/>
          <w:sz w:val="16"/>
          <w:szCs w:val="16"/>
          <w:lang w:val="fr-FR"/>
        </w:rPr>
        <w:t>’</w:t>
      </w:r>
      <w:r w:rsidRPr="002B6D86">
        <w:rPr>
          <w:rFonts w:ascii="Times New Roman" w:hAnsi="Times New Roman" w:cs="Times New Roman"/>
          <w:sz w:val="16"/>
          <w:szCs w:val="16"/>
          <w:lang w:val="fr-FR"/>
        </w:rPr>
        <w:t>impôt par la partie requérante.</w:t>
      </w:r>
    </w:p>
    <w:p w:rsidR="00273E28" w:rsidRPr="002B6D86" w:rsidRDefault="0001198D" w:rsidP="002B6D86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2B6D86">
        <w:rPr>
          <w:sz w:val="16"/>
          <w:szCs w:val="16"/>
          <w:lang w:val="fr-FR"/>
        </w:rPr>
        <w:t>2.</w:t>
      </w:r>
      <w:r w:rsidRPr="002B6D86">
        <w:rPr>
          <w:lang w:val="fr-FR"/>
        </w:rPr>
        <w:t>  </w:t>
      </w:r>
      <w:r w:rsidRPr="002B6D86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</w:t>
      </w:r>
      <w:r w:rsidR="002B6D86" w:rsidRPr="002B6D86">
        <w:rPr>
          <w:rFonts w:ascii="Times New Roman" w:hAnsi="Times New Roman" w:cs="Times New Roman"/>
          <w:sz w:val="16"/>
          <w:szCs w:val="16"/>
          <w:lang w:val="fr-FR"/>
        </w:rPr>
        <w:t>’</w:t>
      </w:r>
      <w:r w:rsidRPr="002B6D86">
        <w:rPr>
          <w:rFonts w:ascii="Times New Roman" w:hAnsi="Times New Roman" w:cs="Times New Roman"/>
          <w:sz w:val="16"/>
          <w:szCs w:val="16"/>
          <w:lang w:val="fr-FR"/>
        </w:rPr>
        <w:t>impôt par la partie requérante.</w:t>
      </w:r>
    </w:p>
    <w:sectPr w:rsidR="00273E28" w:rsidRPr="002B6D86" w:rsidSect="00E1117F">
      <w:headerReference w:type="even" r:id="rId16"/>
      <w:headerReference w:type="default" r:id="rId17"/>
      <w:headerReference w:type="first" r:id="rId18"/>
      <w:footnotePr>
        <w:numRestart w:val="eachPage"/>
      </w:footnotePr>
      <w:pgSz w:w="16838" w:h="11906" w:orient="landscape" w:code="9"/>
      <w:pgMar w:top="1985" w:right="2274" w:bottom="2274" w:left="2274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BC" w:rsidRPr="009A0A3C" w:rsidRDefault="00935ABC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935ABC" w:rsidRPr="009A0A3C" w:rsidRDefault="00935ABC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8A" w:rsidRPr="00F1378A" w:rsidRDefault="00F1378A" w:rsidP="0020718E">
    <w:pPr>
      <w:jc w:val="center"/>
      <w:rPr>
        <w:sz w:val="18"/>
        <w:szCs w:val="18"/>
        <w:lang w:val="fr-FR"/>
      </w:rPr>
    </w:pPr>
    <w:r w:rsidRPr="00F1378A">
      <w:rPr>
        <w:noProof/>
        <w:sz w:val="18"/>
        <w:szCs w:val="18"/>
        <w:lang w:val="it-IT" w:eastAsia="it-IT"/>
      </w:rPr>
      <w:drawing>
        <wp:inline distT="0" distB="0" distL="0" distR="0" wp14:anchorId="33E4DDDF" wp14:editId="6E20890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935ABC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BC" w:rsidRPr="009A0A3C" w:rsidRDefault="00935ABC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935ABC" w:rsidRPr="009A0A3C" w:rsidRDefault="00935ABC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F1378A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247127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96709F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247127">
      <w:rPr>
        <w:lang w:val="fr-FR"/>
      </w:rPr>
      <w:tab/>
      <w:t xml:space="preserve">DÉCISION </w:t>
    </w:r>
    <w:r w:rsidRPr="00247127">
      <w:rPr>
        <w:lang w:val="fr-FR"/>
      </w:rPr>
      <w:t>CATALDO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247127">
      <w:rPr>
        <w:lang w:val="fr-FR"/>
      </w:rPr>
      <w:t xml:space="preserve">DÉCISION </w:t>
    </w:r>
    <w:r w:rsidR="00F1378A" w:rsidRPr="00247127">
      <w:rPr>
        <w:lang w:val="fr-FR"/>
      </w:rPr>
      <w:t>CATALDO ET AUTRES c. ITALIE</w:t>
    </w:r>
    <w:r w:rsidRPr="009A0A3C">
      <w:rPr>
        <w:lang w:val="fr-FR"/>
      </w:rPr>
      <w:tab/>
    </w:r>
    <w:r w:rsidR="00F1378A">
      <w:rPr>
        <w:rStyle w:val="Numeropagina"/>
        <w:lang w:val="fr-FR"/>
      </w:rPr>
      <w:fldChar w:fldCharType="begin"/>
    </w:r>
    <w:r w:rsidR="00F1378A">
      <w:rPr>
        <w:rStyle w:val="Numeropagina"/>
        <w:lang w:val="fr-FR"/>
      </w:rPr>
      <w:instrText xml:space="preserve"> PAGE </w:instrText>
    </w:r>
    <w:r w:rsidR="00F1378A">
      <w:rPr>
        <w:rStyle w:val="Numeropagina"/>
        <w:lang w:val="fr-FR"/>
      </w:rPr>
      <w:fldChar w:fldCharType="separate"/>
    </w:r>
    <w:r w:rsidR="0096709F">
      <w:rPr>
        <w:rStyle w:val="Numeropagina"/>
        <w:noProof/>
        <w:lang w:val="fr-FR"/>
      </w:rPr>
      <w:t>3</w:t>
    </w:r>
    <w:r w:rsidR="00F1378A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8A" w:rsidRPr="00A45145" w:rsidRDefault="00F1378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6471819" wp14:editId="70742CBA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935ABC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8A" w:rsidRPr="009A0A3C" w:rsidRDefault="00F1378A" w:rsidP="003E7DB1">
    <w:pPr>
      <w:pStyle w:val="ECHRHeader"/>
      <w:tabs>
        <w:tab w:val="clear" w:pos="3686"/>
        <w:tab w:val="clear" w:pos="7371"/>
        <w:tab w:val="center" w:pos="6237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247127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96709F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247127">
      <w:rPr>
        <w:lang w:val="fr-FR"/>
      </w:rPr>
      <w:tab/>
      <w:t>DÉCISION CATALDO ET AUTRES c. ITALIE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8A" w:rsidRPr="009A0A3C" w:rsidRDefault="00F1378A" w:rsidP="00F1378A">
    <w:pPr>
      <w:pStyle w:val="ECHRHeader"/>
      <w:tabs>
        <w:tab w:val="clear" w:pos="3686"/>
        <w:tab w:val="clear" w:pos="7371"/>
        <w:tab w:val="center" w:pos="6945"/>
        <w:tab w:val="right" w:pos="13890"/>
      </w:tabs>
      <w:rPr>
        <w:lang w:val="fr-FR"/>
      </w:rPr>
    </w:pPr>
    <w:r w:rsidRPr="009A0A3C">
      <w:rPr>
        <w:lang w:val="fr-FR"/>
      </w:rPr>
      <w:tab/>
    </w:r>
    <w:r w:rsidRPr="00247127">
      <w:rPr>
        <w:lang w:val="fr-FR"/>
      </w:rPr>
      <w:t xml:space="preserve">DÉCISION CATALDO ET AUTRES c. ITALIE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01198D">
      <w:rPr>
        <w:rStyle w:val="Numeropagina"/>
        <w:noProof/>
        <w:lang w:val="fr-FR"/>
      </w:rPr>
      <w:t>5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8A" w:rsidRPr="00A45145" w:rsidRDefault="00F1378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9305A19" wp14:editId="6EFD327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78A" w:rsidRPr="009A0A3C" w:rsidRDefault="00F1378A" w:rsidP="00F1378A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F1378A"/>
    <w:rsid w:val="000041F8"/>
    <w:rsid w:val="000042A8"/>
    <w:rsid w:val="00004308"/>
    <w:rsid w:val="00005BF0"/>
    <w:rsid w:val="00007154"/>
    <w:rsid w:val="000103AE"/>
    <w:rsid w:val="0001198D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505B"/>
    <w:rsid w:val="000F7851"/>
    <w:rsid w:val="00104E23"/>
    <w:rsid w:val="00111B0C"/>
    <w:rsid w:val="00120D6C"/>
    <w:rsid w:val="001257EC"/>
    <w:rsid w:val="00126910"/>
    <w:rsid w:val="00133D33"/>
    <w:rsid w:val="00134D64"/>
    <w:rsid w:val="00135A30"/>
    <w:rsid w:val="0013612C"/>
    <w:rsid w:val="00137FF6"/>
    <w:rsid w:val="00141650"/>
    <w:rsid w:val="00154142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9D0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47127"/>
    <w:rsid w:val="002532C5"/>
    <w:rsid w:val="00260C03"/>
    <w:rsid w:val="0026540E"/>
    <w:rsid w:val="00273E28"/>
    <w:rsid w:val="00275123"/>
    <w:rsid w:val="00282240"/>
    <w:rsid w:val="002948AD"/>
    <w:rsid w:val="002A01CC"/>
    <w:rsid w:val="002A61B1"/>
    <w:rsid w:val="002A663C"/>
    <w:rsid w:val="002B444B"/>
    <w:rsid w:val="002B5887"/>
    <w:rsid w:val="002B6D86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DB1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B69F6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1123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ABC"/>
    <w:rsid w:val="00936CD1"/>
    <w:rsid w:val="00941747"/>
    <w:rsid w:val="00941EFB"/>
    <w:rsid w:val="00947AFB"/>
    <w:rsid w:val="00951D7D"/>
    <w:rsid w:val="009630C7"/>
    <w:rsid w:val="0096709F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09DC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17F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78A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F1378A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F1378A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1378A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F1378A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F1378A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1378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F4C7-5282-4027-93CB-7A1B0DE91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2A297-91C1-4B60-AEB5-D772C2FEB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98BB2-6AA0-4A89-B078-B52801D27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1DEB1-D56C-4268-8330-DC4FA115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2019-02-13T15:23:00Z</dcterms:created>
  <dcterms:modified xsi:type="dcterms:W3CDTF">2019-02-13T15:23:00Z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28840/03</vt:lpwstr>
  </property>
  <property fmtid="{D5CDD505-2E9C-101B-9397-08002B2CF9AE}" pid="4" name="CASEID">
    <vt:lpwstr>175992</vt:lpwstr>
  </property>
  <property fmtid="{D5CDD505-2E9C-101B-9397-08002B2CF9AE}" pid="5" name="ContentTypeId">
    <vt:lpwstr>0x010100558EB02BDB9E204AB350EDD385B68E10</vt:lpwstr>
  </property>
</Properties>
</file>